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01" w:rsidRDefault="00C77901" w:rsidP="0001009D">
      <w:pPr>
        <w:jc w:val="both"/>
        <w:rPr>
          <w:rFonts w:asciiTheme="minorHAnsi" w:hAnsiTheme="minorHAnsi" w:cs="Calibri"/>
          <w:color w:val="000000"/>
          <w:sz w:val="32"/>
          <w:szCs w:val="32"/>
          <w:shd w:val="clear" w:color="auto" w:fill="FFFFFF"/>
        </w:rPr>
      </w:pPr>
    </w:p>
    <w:p w:rsidR="002F1332" w:rsidRDefault="00AE03DE" w:rsidP="008F6B38">
      <w:pPr>
        <w:rPr>
          <w:rFonts w:ascii="ALS Sector Bold" w:hAnsi="ALS Sector Bold" w:cs="Calibri"/>
          <w:color w:val="000000"/>
          <w:sz w:val="32"/>
          <w:szCs w:val="32"/>
          <w:shd w:val="clear" w:color="auto" w:fill="FFFFFF"/>
        </w:rPr>
      </w:pPr>
      <w:r>
        <w:rPr>
          <w:rFonts w:ascii="ALS Sector Bold" w:hAnsi="ALS Sector Bold" w:cs="Calibri"/>
          <w:color w:val="000000"/>
          <w:sz w:val="32"/>
          <w:szCs w:val="32"/>
          <w:shd w:val="clear" w:color="auto" w:fill="FFFFFF"/>
        </w:rPr>
        <w:t>СТЕНОГРАММА</w:t>
      </w:r>
    </w:p>
    <w:p w:rsidR="00873B77" w:rsidRPr="008F6B38" w:rsidRDefault="00873B77" w:rsidP="008F6B38">
      <w:pPr>
        <w:rPr>
          <w:rFonts w:asciiTheme="minorHAnsi" w:hAnsiTheme="minorHAnsi"/>
          <w:sz w:val="32"/>
          <w:szCs w:val="32"/>
        </w:rPr>
      </w:pPr>
    </w:p>
    <w:p w:rsidR="00AE03DE" w:rsidRPr="00AE03DE" w:rsidRDefault="00AE03DE" w:rsidP="00AE03D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Евгений Дитрих доложил в Совете Федерации о реализации национального проекта «Безопасные и качественные автомобильные дороги»</w:t>
      </w:r>
    </w:p>
    <w:p w:rsid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министра транспорта Евгения Дитриха прозвучал в рамках Правительственного часа 25 ноября. Мероприятие прошло под руководством Председателя Совета Федерации Валентины Матвиенко.</w:t>
      </w:r>
    </w:p>
    <w:p w:rsidR="00AE03DE" w:rsidRPr="00AE03DE" w:rsidRDefault="00AE03DE" w:rsidP="00AE03D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03DE" w:rsidRDefault="00AE03DE" w:rsidP="00AE03DE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Стенограмма выступления Евгения Дитриха</w:t>
      </w:r>
    </w:p>
    <w:p w:rsidR="00AE03DE" w:rsidRPr="00AE03DE" w:rsidRDefault="00AE03DE" w:rsidP="00AE03D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03DE" w:rsidRPr="00AE03DE" w:rsidRDefault="00AE03DE" w:rsidP="00AE03D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Уважаемая Валентина Ивановна!</w:t>
      </w:r>
    </w:p>
    <w:p w:rsidR="00AE03DE" w:rsidRPr="00AE03DE" w:rsidRDefault="00AE03DE" w:rsidP="00AE03DE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члены Совета Федерации!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Хотел бы начать со слов благодарности за особое внимание к работе Министерства транспорта по всем направлениям нашей деятельности. В особенности – к реализуемым транспортным национальным проектам. Это помогает нам точнее видеть вопросы и проблемы, возникающие у регионов. И быстрее их решать.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Сегодняшний Правительственный час посвящён предварительным итогам реализации национального проекта «Безопасные и качественные автомобильные дороги» в этом году. Это тем более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знаково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2019 год – не только первый год реализации нацпроекта. Но и год 210-летия создания первого транспортного ведомства и первого транспортного образовательного учреждения в России. Особенное спасибо, Валентина Ивановна, Вам. Валентина Ивановна сегодня открыла экспозицию «Регионы России - колесо истории», часть которой посвящена нацпроекту «Безопасные и качественные автомобильные дороги». Ваше участие предало ему особенный тонкий смысл. В рамках экспозиции можно познакомиться с деталями нацпроекта, посмотреть интерактивную карту, созданную на базе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БКД.РФ, увидеть на ней самые свежие данные о реализации нацпроекта в каждом регионе.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национального проекта по дорогам стали 83 региона и 104 городские агломерации в них. А в общем – почти все жители нашей страны.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структуре нацпроекта - 4 федеральных. Первый, «Дорожная сеть» - самый капиталоёмкий. Из 126 миллиардов федеральных денег на нацпроект, выделенных на весь нацпроект в этом году, на Дорожную сеть пришлось 111,2 млрд. </w:t>
      </w:r>
      <w:proofErr w:type="gram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руб..</w:t>
      </w:r>
      <w:proofErr w:type="gram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Весь объём дорожных работ в регионах осуществлялся в рамках этого федерального проекта. Его основная цель – повысить протяженность качественных дорог, находящихся в нормативном состоянии. Ремонтируются </w:t>
      </w: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только улицы в агломерациях, но и наиболее востребованные региональные дороги. Не менее половины региональных трасс должны находиться в нормативном состоянии к 2024 году. 50,9 процента, если быть точным. И не менее 85 процентов улиц в агломерациях.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федеральный проект - «Общесистемные меры развития дорожного хозяйства» - он предусматривает ряд структурных, нормативных и организационных изменений в системе управления дорожным хозяйством в целом.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федеральный проект - «Безопасность дорожного движения» - реализуется МВД России и нацелен на снижение смертности в дорожно-транспортных происшествиях. В 3,5 раза нужно снизить число погибших к 2024 году. Очень амбициозная и важная цель поставлена.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Наконец, четвертый федеральный проект - «Автомобильные дороги Минобороны России» - реализуется военными для приведения в порядок ведомственных дорог. Реализация его мероприятий осуществляется в соответствии с запланированным графиком и опасений у нас не вызывает.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Остановлюсь подробнее на результатах работы по каждому из федеральных проектов.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 рамках проекта «Дорожная сеть» доля дорог регионального значения, соответствующая нормативным требованиям, должна вырасти до 44,1%. Протяженность дорог в нормативе составит 218 тыс. км.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дорожной сети городских агломераций, находящихся в нормативном состоянии, должна вырасти до 85 % к 2024 году.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по плану должны были выйти на показатель 46%. Но уже сейчас по оценкам субъектов этот показатель может составить более 60 процентов. Поработали качественно. Количество точек аварийности, мест концентрации ДТП к концу 2019 года должно снизиться на 8,3% от уровня 17 года. А в 2024 году - до 50%, то есть вдвое.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в 83 субъектах дорожные работы выполняются на более чем 6900 объектах. Часть объектов переходящие на 2020-й год. Таких 1015 штук.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работ по укладке верхних слоев дорожной одежды закончено на 97 %. Уложено 124 млн квадратных метров из плановых 128 млн.  Для наглядности: площадь отремонтированных дорог превышает площадь 80 тыс. хоккейных площадок.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Общий процент кассового исполнения на сегодня по всем субъектам составляет 83,3 %. Это более 90 млрд рублей из 111,2 млрд рублей.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 соответствии с распоряжением Правительства от 8 ноября 2019 года в бюджеты субъектов до конца текущего года из федерального бюджета поступят иные межбюджетные трансферты на сумму 14,7 млрд рублей. 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 необходимым отметить регионы-лидеры по выполнению всех ремонтных работ, включая финишную укладку асфальтобетона. Это </w:t>
      </w: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Белгородская, Самарская, Пензенская, Томская, Новгородская, Мурманская, Ивановская области, Удмуртская и Чеченская Республики. Всего работы завершены или находятся на финальной стадии в 70 субъектах.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 регионов выполнили около 90 % запланированных работ и только в шести субъектах выполнено менее 80 %.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 регионов остаются в красной зоне. С ними Минтрансом проводится индивидуальная кропотливая работа.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нацпроекта выполняются работы также по 18-ти капиталоемким мероприятиям. По 15 из них заключены контракты и развернуты работы.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Назову некоторые из этих важных для регионов и жителей объектов. В Самарской области идет реконструкция автодороги Тольятти-Ягодное. Строятся Западный обход Иваново, Восточный обход Тулы и обход Рузаевки в Мордовии. Ведется реконструкция мостов через Десну в Брянске и реку Белая в Уфе. В Кургане реконструируется аварийный путепровод по проспекту Машиностроителей, в Иркутске - путепровод </w:t>
      </w:r>
      <w:proofErr w:type="gram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Джамбула</w:t>
      </w:r>
      <w:proofErr w:type="gram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есть объекты, по которые контракты пока еще не заключены - в Орловской и Нижегородской областях. А по Еврейской автономной области вынуждены констатировать, что работы по мосту через реку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Бира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году не начнутся.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субъектов проинформированы, что рассмотрение вопросов дополнительного финансирования в будущих периодах поставлено в прямую зависимость от выполнения запланированной программы работ и достижения целевых показателей в этом году.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одними только жёсткими мерами задачу не решить. Совместно разбираемся в причинах отставания. В большинстве случаев это связано с недостаточным уровнем квалификации специалистов региональных проектных команд и региональных подрядчиков.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мы начали внедрять для контроля тогда еще приоритетного проекта «Безопасные и качественные дороги» электронную систему оперативного управления «Эталон». Формы и шаблоны, заполняемые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пообъектно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участниками проекта, позволяют им детальнее разобраться в этапах планирования и выполнения работ, отслеживать проблемные объекты. Обмениваться информацией между всеми уровнями управления. Контролировать работу подрядных организаций и делиться положительными практиками.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даже организовать загрузку достоверной информации в систему «Эталон» смогли не все регионы. До сих пор ряд субъектов вносит её несвоевременно или некорректно. Почему? Полагаем, руководители проектов на местах не интересуются промежуточными результатами и не отслеживают выполнение показателей, что, естественно, влечёт проблемы с контролем </w:t>
      </w: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региональными заказчиками за выполнением подрядчиками дорожных работ, возникает необходимость переделывать некачественную работу.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тем, несмотря на отставание некоторых субъектов, показатели национального проекта в целом по стране в 2019 году будут безусловно выполнены, а по ряду позиций мы улучшим показатели по сравнению с первоначальным планом.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Что касается следующего года. 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сейчас проводим работу по подготовке к следующему дорожно-строительному сезону. На сегодня регионами уже заключены контракты на выполнение в будущем году работ по 966 объектам.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- до конца года иметь не менее 60% законтрактованных объёмов будущего года. До марта регионам и городам нужно провести торги по всем объектам. Все условия для этого созданы.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второму нашему федеральному проекту «Общесистемные меры развития дорожного хозяйства». Мы с опережением выполняем задачу по созданию реестра новых и наилучших технологий и материалов. Прототип реестра создан и функционирует. Доля заключенных в этом году контрактов, в которых используются новые технологии, уже составляет 43%, при плановом целевом показателе 10%.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Завершение работ второго этапа создания Реестра запланировано в ноябре. На данный момент в рамках второго этапа в реестр включается свыше 200 новых актуальных технологий выполнения дорожных работ. 300 будет включено до конца этого года.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естественно, работаем над совершенствованием нормативно-технических документов, стандартов проведения дорожных работ. До 2024 года должно быть поэтапно разработано и актуализировано более 130 стандартов.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 году перевыполнена задача по установке камер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фотовидеофиксации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правил дорожного движения. При плане, предусматривающем установку 9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049 камер, фактически будет установлено почти 12 с половиной тысяч. Это объективная необходимость. В ряде регионов на вновь отремонтированных участках региональных трасс возросла аварийность. На хорошей дороге водители превышают скорость и попадают в аварии. Предупреждение о наличии камер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фотовидеофиксации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заставляет водителей снижать скорость.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водители выставляли целый ряд претензий к расстановке камер. Часть вопросов носит системный характер. Минтранс совместно с МВД разработал Методику определения мест их размещения, которая была одобрена Проектным Комитетом 19 ноября.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придания обязательного статуса часть положений методики вошло в разрабатываемые законодательные инициативы Минтранса, по итогам </w:t>
      </w: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апробации методики будут также подготовлены предложения об утверждении ее в виде постановления Правительства.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Применение методики упорядочит использование камер и сориентирует региональные власти именно на профилактику снижения аварийности как основную цель их установки. В течение года постоянно ведём работу по оптимизации проекта, учету предложений всех его участников. Создан Общеотраслевой центр компетенций; на его площадке собираем вопросы проектных команд, готовим разъяснения и методические указания, ведем консультационную поддержку участников проекта.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числе наиболее важных тем этого года - внедрение маршрутного принципа выполнения дорожных работ. Работаем по системе: начал участок - в следующем году продолжи его, доделай улицу целиком.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Переходим на уровень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межсубъектного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планирования, чтобы отремонтированная дорога, проходящая через несколько регионов, не заканчивалась на границе одного из них.  И чтобы работы в соседних субъектах не разносились на 2-3 года на одном и том же маршруте. Такие принципы заложим в региональные программы работ уже на 2020-й год.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об одном важнейшем федеральном проекте «Безопасность дорожного движения».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разработан и уже частично принят ряд законодательных инициатив для совершенствования исполнения административных наказаний, контроля за состоянием автомобилей и дорог, усиления ответственности водителей за грубые нарушения правил дорожного движения. Введены государственные стандарты, устанавливающие классификацию и технические требования к дорожной разметке и правила производства работ на дорогах. Подготовлены к утверждению требования в части применения технических средств организации дорожного движения.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масштабное оснащение сотрудников ГИБДД патрульными автомобилями, укладками для оказания первой помощи, средствами измерения технического состояния транспортных средств и эксплуатационного состояния дорог.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активнее заявляют о себе отряды юных инспекторов движения. Ребята, например, не только сами не поедут никуда без пристёгнутых ремней безопасности, но и родителям не позволят сделать это.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базе перинатальных центров и родильных домов организовано обучение женщин-рожениц. Им прививают навыки и умения безопасной перевозки детей в автомобилях.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всех усилий ситуация в сфере безопасности дорожного движения улучшается; основные показатели аварийности снижаются. По итогам 10 месяцев на 3,5% снизилось количество дорожно-транспортных происшествий. Число раненых снизилось на 2,9%. На 9,4% снизилось число погибших.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останавливаемся на достигнутом; предпримем все меры для достижения нулевого показателя социального риска – нулевой смертности в ДТП к 2030 году.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 же время ситуация с аварийностью ухудшилась в 35 регионах.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Субъектам Российской Федерации в 2020 году необходимо обратить особое внимание на реализацию инженерно-технических мероприятий по повышению безопасности движения пешеходов, контролю скорости транспортных потоков, предупреждение столкновений транспортных средств и их опрокидываний.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Росавтодором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регионами разрабатывается план по установке барьерных ограждений на трех- и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четырехполосных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участках автодорог. Самые тяжелые из всех ДТП – лобовые столкновения.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Регионы должны предусмотреть мероприятия по увеличению протяженности участков дорог, оборудованных искусственным освещением, по устройству в населенных пунктах тротуаров для исключения наездов на пешеходов в темное время суток. Тут важна также разъяснительная кампания, социальная реклама, побуждающая пешеходов к обозначению себя на дороге, более широкому использованию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световозвращающих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элементов на одежде и детских школьных сумках и рюкзаках.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сокращения аварийности при перевозке пассажиров автотранспортом Минтранс совместно с МВД разработал проект Концепции совершенствования системы контроля перевозок пассажиров и грузов. Предусматриваются решения на базе современных возможностей техники и цифровых технологий. Готовим проект к общественному обсуждению.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задач, стоящих перед регионами в рамках нацпроекта, повышенное внимание Минтранса уделяется формированию региональных дорожных фондов. В ряде субъектов до сих пор часть средств выводится из дорожных фондов и направляется на иные цели. Механизм - установление налога на имущество региональных автодорог и уплата его за счет региональных дорожных фондов. В 2019 году таким образом изъято из региональных дорожных фондов более 12 млрд рублей.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с каждым годом количество регионов, взимающих «налог на дороги», сокращается. В 2014 году их было 45, в этом году чуть более 20.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закрепить освобождение региональных дорог от налога на имущество, Минтранс подготовил соответствующие изменения в Налоговый кодекс. Просил бы уважаемых сенаторов поддержать инициативу.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рамках нацпроекта мы подготовили ряд первоочередных законопроектов. Они касаются проведения аудита безопасности дорожного движения, расширения практики использования контрактов жизненного цикла; применения интеллектуальных транспортных систем, в том числе внедрения системы взимания платы за проезд в режиме «Свободный поток».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Готовы будем отработать подходы по этим документам с Советом Федерации. Просил бы Вашего согласия, Валентина Ивановна, на взаимодействие с Комитетом по экономической политике по организации этой работы.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 хочу доложить о проекте Программы приведения в нормативное состояние и строительства искусственных сооружений и строительств мостов на региональных и местных автодорогах. О проекте ремонта мостов.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подготовлен по итогам заседания Государственного совета 26 июня с учетом предложений субъектов РФ. На комитете у Андрея Викторовича в пятницу по этой теме прозвучало большое количество вопросов.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программы состоит из раздела реконструкции, капитального ремонта и ремонта аварийных и предаварийных мостов и путепроводов. Включает раздел строительства новых путепроводов в местах пересечения железнодорожных путей. Он также содержит раздел по строительству новых мостовых сооружений для формирования транспортного каркаса Российской Федерации.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Мосты, которые нуждаются в капитальном ремонте, из-за которых регионы вынуждены ограничивать движение в городах и на региональных трассах, сегодня являются узкими местами нашей дорожной сети. В местах, где мосты отсутствуют вовсе - ситуация ничуть не лучше. В результате имеем перепробеги грузового и пассажирского автотранспорта, увеличение транспортных затрат в цене продукции и повышение нагрузки на экономику в целом. Напомню также о постоянно закрытых из-за непрерывного движения составов железнодорожных переездах в одном уровне. Это источник больших аварий и социальной напряженности, эти узлы должны быть расшиты.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при формировании проекта Программы заявлено к реализации более 3 </w:t>
      </w:r>
      <w:proofErr w:type="spellStart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900 аварийных и предаварийных искусственных сооружений. Их общая протяженность 190 000 погонных метров, а потребность в финансировании - свыше 370 млрд рублей.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486 путепроводов через железнодорожные пути необходимо свыше 340 млрд. На крупные и важные для транспортного каркаса страны новые мостовые переходы в 21-м субъекте РФ - 415 млрд рублей.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большие, источники для реализации этой программы в явном виде не прописаны. Сейчас мы собираем её по всем нашим возможным остаткам, включаем в разные дорожные проекты, частично используем капиталоёмкие мероприятия дорожного нацпроекта и Комплексный план модернизации и расширения магистральной инфраструктуры.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Предложили рассмотреть возможность возврата к установленному Бюджетным кодексом коэффициенту наполнения Федерального дорожного фонда, в размере 0,83. Это предусмотрено паспортом нацпроекта, но пока не реализовано.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просьбе Комитета мы передали сенаторам проект программы мостов для рассмотрения, готовы к творческому обсуждению и доработке. В декабре по поручению Председателя Правительства вносим проект программы в Белый дом. Предложим включить в дорожный нацпроект новый, пятый федеральный проект «Мосты и путепроводы».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здесь важно, мне кажется, объединить усилия в разъяснении важности этого направления нашей работы и поиске для неё дополнительных ресурсов, в первую очередь бюджетных. Рассчитываем в этом важном вопросе на поддержку Совета Федерации.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Доклад закончил.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***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глава Минтранса ответил на вопросы сенаторов на тему строительства автомобильных дорог в регионах.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преддверии Правительственного часа Председатель Совета Федерации Валентина Матвиенко и министр транспорта Евгений Дитрих открыли работу выставки «Регионы России. Колесо истории». Экспозици</w:t>
      </w:r>
      <w:bookmarkStart w:id="0" w:name="_GoBack"/>
      <w:bookmarkEnd w:id="0"/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рассказывает посетителям об истории становления и развития транспортной отрасли Российского государства за более чем 200-летний период.</w:t>
      </w:r>
    </w:p>
    <w:p w:rsidR="00AE03DE" w:rsidRPr="00AE03DE" w:rsidRDefault="00AE03DE" w:rsidP="00AE0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поделена на 6 тематических модулей. 3 из них посвящены различным историческим периодам становления транспортного комплекса, 3 — отраслевым направлениям. В частности, наглядно представлен ход реализации национального проекта «Безопасные и качественные автомобильные дороги», цифровая трансформация транспортного комплекса России, а также приоритеты в развитии отраслевого образования.</w:t>
      </w:r>
    </w:p>
    <w:p w:rsidR="00AE03DE" w:rsidRPr="00AE03DE" w:rsidRDefault="00AE03DE" w:rsidP="00AE03D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стендах размещены уникальные архивные и современные фотографии, документы. Вступительная часть каждого блока рассказывает об основных показателях отрасли, представлены наиболее яркие цифры и достижения всех видов транспорта.</w:t>
      </w:r>
    </w:p>
    <w:p w:rsidR="00D9734B" w:rsidRPr="00AE03DE" w:rsidRDefault="00D9734B" w:rsidP="00873B77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734B" w:rsidRPr="00AE03DE" w:rsidSect="00702685">
      <w:headerReference w:type="default" r:id="rId7"/>
      <w:footerReference w:type="default" r:id="rId8"/>
      <w:pgSz w:w="11906" w:h="16838"/>
      <w:pgMar w:top="391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E1" w:rsidRDefault="00725FE1" w:rsidP="00C77901">
      <w:pPr>
        <w:spacing w:after="0" w:line="240" w:lineRule="auto"/>
      </w:pPr>
      <w:r>
        <w:separator/>
      </w:r>
    </w:p>
  </w:endnote>
  <w:endnote w:type="continuationSeparator" w:id="0">
    <w:p w:rsidR="00725FE1" w:rsidRDefault="00725FE1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S Sector Bold">
    <w:altName w:val="Calibri"/>
    <w:panose1 w:val="020B0604020202020204"/>
    <w:charset w:val="00"/>
    <w:family w:val="modern"/>
    <w:notTrueType/>
    <w:pitch w:val="variable"/>
    <w:sig w:usb0="00000001" w:usb1="0000006B" w:usb2="00000000" w:usb3="00000000" w:csb0="00000003" w:csb1="00000000"/>
  </w:font>
  <w:font w:name="ALS Sector Regular">
    <w:altName w:val="Arial"/>
    <w:panose1 w:val="020B0604020202020204"/>
    <w:charset w:val="00"/>
    <w:family w:val="modern"/>
    <w:notTrueType/>
    <w:pitch w:val="variable"/>
    <w:sig w:usb0="00000001" w:usb1="0000006A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EF" w:rsidRDefault="00BE222B" w:rsidP="005457EF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15240</wp:posOffset>
          </wp:positionV>
          <wp:extent cx="1174115" cy="476250"/>
          <wp:effectExtent l="0" t="0" r="6985" b="0"/>
          <wp:wrapTight wrapText="bothSides">
            <wp:wrapPolygon edited="0">
              <wp:start x="0" y="0"/>
              <wp:lineTo x="0" y="20736"/>
              <wp:lineTo x="21378" y="20736"/>
              <wp:lineTo x="21378" y="0"/>
              <wp:lineTo x="0" y="0"/>
            </wp:wrapPolygon>
          </wp:wrapTight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4838700</wp:posOffset>
          </wp:positionH>
          <wp:positionV relativeFrom="paragraph">
            <wp:posOffset>-1032510</wp:posOffset>
          </wp:positionV>
          <wp:extent cx="2924175" cy="1919605"/>
          <wp:effectExtent l="0" t="0" r="9525" b="444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924175" cy="191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7EF"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E1" w:rsidRDefault="00725FE1" w:rsidP="00C77901">
      <w:pPr>
        <w:spacing w:after="0" w:line="240" w:lineRule="auto"/>
      </w:pPr>
      <w:r>
        <w:separator/>
      </w:r>
    </w:p>
  </w:footnote>
  <w:footnote w:type="continuationSeparator" w:id="0">
    <w:p w:rsidR="00725FE1" w:rsidRDefault="00725FE1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C3D" w:rsidRDefault="00BE222B" w:rsidP="0001009D">
    <w:pPr>
      <w:pStyle w:val="a3"/>
      <w:ind w:right="-340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485DF30" wp14:editId="5ED01E16">
          <wp:simplePos x="0" y="0"/>
          <wp:positionH relativeFrom="column">
            <wp:posOffset>-1392555</wp:posOffset>
          </wp:positionH>
          <wp:positionV relativeFrom="paragraph">
            <wp:posOffset>-649605</wp:posOffset>
          </wp:positionV>
          <wp:extent cx="2997835" cy="1376045"/>
          <wp:effectExtent l="0" t="0" r="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2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99783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FE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or_1" style="width:147.85pt;height:79.65pt;mso-width-percent:0;mso-height-percent:0;mso-width-percent:0;mso-height-percent:0">
          <v:imagedata r:id="rId2" o:title="Logo_or_1"/>
        </v:shape>
      </w:pict>
    </w:r>
  </w:p>
  <w:p w:rsidR="00072C3D" w:rsidRPr="00072C3D" w:rsidRDefault="00AE03DE" w:rsidP="00072C3D">
    <w:pPr>
      <w:pStyle w:val="a3"/>
      <w:ind w:right="-340"/>
      <w:jc w:val="right"/>
      <w:rPr>
        <w:rFonts w:ascii="ALS Sector Regular" w:hAnsi="ALS Sector Regular"/>
      </w:rPr>
    </w:pPr>
    <w:r>
      <w:rPr>
        <w:rFonts w:ascii="ALS Sector Regular" w:hAnsi="ALS Sector Regular"/>
      </w:rPr>
      <w:t>25</w:t>
    </w:r>
    <w:r w:rsidR="0001009D">
      <w:rPr>
        <w:rFonts w:ascii="ALS Sector Regular" w:hAnsi="ALS Sector Regular"/>
      </w:rPr>
      <w:t xml:space="preserve"> </w:t>
    </w:r>
    <w:r w:rsidR="008B68CF">
      <w:rPr>
        <w:rFonts w:ascii="ALS Sector Regular" w:hAnsi="ALS Sector Regular"/>
      </w:rPr>
      <w:t>ноября</w:t>
    </w:r>
    <w:r w:rsidR="00650CE6">
      <w:rPr>
        <w:rFonts w:ascii="ALS Sector Regular" w:hAnsi="ALS Sector Regular"/>
      </w:rPr>
      <w:t xml:space="preserve"> </w:t>
    </w:r>
    <w:r w:rsidR="00072C3D" w:rsidRPr="00072C3D">
      <w:rPr>
        <w:rFonts w:ascii="ALS Sector Regular" w:hAnsi="ALS Sector Regular"/>
      </w:rPr>
      <w:t>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01"/>
    <w:rsid w:val="00007FC0"/>
    <w:rsid w:val="0001009D"/>
    <w:rsid w:val="00031ADF"/>
    <w:rsid w:val="0005378B"/>
    <w:rsid w:val="00072C3D"/>
    <w:rsid w:val="000F766C"/>
    <w:rsid w:val="001357E0"/>
    <w:rsid w:val="00141F5F"/>
    <w:rsid w:val="0016496C"/>
    <w:rsid w:val="00196D92"/>
    <w:rsid w:val="001D7BC7"/>
    <w:rsid w:val="0028176F"/>
    <w:rsid w:val="0028441B"/>
    <w:rsid w:val="00297E07"/>
    <w:rsid w:val="00297F6C"/>
    <w:rsid w:val="002D4675"/>
    <w:rsid w:val="002F1332"/>
    <w:rsid w:val="00347F99"/>
    <w:rsid w:val="003B4410"/>
    <w:rsid w:val="00413419"/>
    <w:rsid w:val="00422F5F"/>
    <w:rsid w:val="00437697"/>
    <w:rsid w:val="00437E40"/>
    <w:rsid w:val="004B553C"/>
    <w:rsid w:val="004C39BC"/>
    <w:rsid w:val="00522A1B"/>
    <w:rsid w:val="0053030F"/>
    <w:rsid w:val="005457EF"/>
    <w:rsid w:val="00574187"/>
    <w:rsid w:val="005F61DF"/>
    <w:rsid w:val="00650CE6"/>
    <w:rsid w:val="00662CB3"/>
    <w:rsid w:val="006944A7"/>
    <w:rsid w:val="006E0361"/>
    <w:rsid w:val="00702685"/>
    <w:rsid w:val="00725FE1"/>
    <w:rsid w:val="007C2E2E"/>
    <w:rsid w:val="007E2129"/>
    <w:rsid w:val="007E74D0"/>
    <w:rsid w:val="007F7EA4"/>
    <w:rsid w:val="0083647E"/>
    <w:rsid w:val="0086267F"/>
    <w:rsid w:val="00873B77"/>
    <w:rsid w:val="00880029"/>
    <w:rsid w:val="008B68CF"/>
    <w:rsid w:val="008C4378"/>
    <w:rsid w:val="008D7BF0"/>
    <w:rsid w:val="008F6B38"/>
    <w:rsid w:val="0091022B"/>
    <w:rsid w:val="009D1BEF"/>
    <w:rsid w:val="009F61C9"/>
    <w:rsid w:val="00A01037"/>
    <w:rsid w:val="00A10CA4"/>
    <w:rsid w:val="00A55755"/>
    <w:rsid w:val="00A638FA"/>
    <w:rsid w:val="00AC2049"/>
    <w:rsid w:val="00AC24E6"/>
    <w:rsid w:val="00AE03DE"/>
    <w:rsid w:val="00AE5A61"/>
    <w:rsid w:val="00B16BDE"/>
    <w:rsid w:val="00B32378"/>
    <w:rsid w:val="00BC2E76"/>
    <w:rsid w:val="00BE222B"/>
    <w:rsid w:val="00C37950"/>
    <w:rsid w:val="00C77901"/>
    <w:rsid w:val="00C8337A"/>
    <w:rsid w:val="00D9734B"/>
    <w:rsid w:val="00E22992"/>
    <w:rsid w:val="00E446FF"/>
    <w:rsid w:val="00E730B7"/>
    <w:rsid w:val="00EF534E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CCF5E"/>
  <w15:chartTrackingRefBased/>
  <w15:docId w15:val="{0D4C97DC-A3D2-49B4-B76E-15593E1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03D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character" w:styleId="a7">
    <w:name w:val="Hyperlink"/>
    <w:basedOn w:val="a0"/>
    <w:uiPriority w:val="99"/>
    <w:semiHidden/>
    <w:unhideWhenUsed/>
    <w:rsid w:val="00650C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AE03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3DE"/>
    <w:rPr>
      <w:b/>
      <w:bCs/>
    </w:rPr>
  </w:style>
  <w:style w:type="character" w:styleId="aa">
    <w:name w:val="Emphasis"/>
    <w:basedOn w:val="a0"/>
    <w:uiPriority w:val="20"/>
    <w:qFormat/>
    <w:rsid w:val="00AE03DE"/>
    <w:rPr>
      <w:i/>
      <w:iCs/>
    </w:rPr>
  </w:style>
  <w:style w:type="character" w:customStyle="1" w:styleId="apple-converted-space">
    <w:name w:val="apple-converted-space"/>
    <w:basedOn w:val="a0"/>
    <w:rsid w:val="00AE0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0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3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12" w:space="15" w:color="EBEBE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3436-44CC-9846-A3D6-95DC5065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tbogdanova@infad.ru</cp:lastModifiedBy>
  <cp:revision>2</cp:revision>
  <dcterms:created xsi:type="dcterms:W3CDTF">2019-11-25T12:51:00Z</dcterms:created>
  <dcterms:modified xsi:type="dcterms:W3CDTF">2019-11-25T12:51:00Z</dcterms:modified>
</cp:coreProperties>
</file>